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09E" w:rsidRDefault="00853E0D">
      <w:pPr>
        <w:spacing w:after="0" w:line="240" w:lineRule="auto"/>
        <w:ind w:left="5670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Приложение 30</w:t>
      </w:r>
    </w:p>
    <w:p w:rsidR="0006009E" w:rsidRDefault="00853E0D">
      <w:pPr>
        <w:spacing w:after="0" w:line="240" w:lineRule="auto"/>
        <w:ind w:left="5670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к Закону Ханты-Мансийского</w:t>
      </w:r>
    </w:p>
    <w:p w:rsidR="0006009E" w:rsidRDefault="00853E0D">
      <w:pPr>
        <w:spacing w:after="0" w:line="240" w:lineRule="auto"/>
        <w:ind w:left="5670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автономного округа – Югры</w:t>
      </w:r>
    </w:p>
    <w:p w:rsidR="0006009E" w:rsidRDefault="00C51659">
      <w:pPr>
        <w:spacing w:after="0" w:line="240" w:lineRule="auto"/>
        <w:ind w:left="5670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</w:rPr>
        <w:t>от 28 ноября 2024 года № 80-оз</w:t>
      </w:r>
      <w:bookmarkStart w:id="0" w:name="_GoBack"/>
      <w:bookmarkEnd w:id="0"/>
    </w:p>
    <w:p w:rsidR="0006009E" w:rsidRDefault="0006009E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6009E" w:rsidRDefault="00853E0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bookmarkStart w:id="1" w:name="_Hlk64718899"/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Программа государственных внутренних заимствований </w:t>
      </w:r>
    </w:p>
    <w:p w:rsidR="0006009E" w:rsidRDefault="00853E0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Ханты-Мансийского автономного округа – Югры </w:t>
      </w:r>
    </w:p>
    <w:p w:rsidR="0006009E" w:rsidRDefault="00853E0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2025 год и на плановый период 2026 и 2027 годов</w:t>
      </w:r>
      <w:bookmarkEnd w:id="1"/>
    </w:p>
    <w:p w:rsidR="0006009E" w:rsidRDefault="0006009E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06009E" w:rsidRDefault="00853E0D">
      <w:pPr>
        <w:spacing w:after="0" w:line="240" w:lineRule="auto"/>
        <w:ind w:left="7654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Таблица 1</w:t>
      </w:r>
    </w:p>
    <w:p w:rsidR="0006009E" w:rsidRDefault="00853E0D">
      <w:pPr>
        <w:spacing w:after="0" w:line="240" w:lineRule="auto"/>
        <w:ind w:left="7654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приложения 30</w:t>
      </w:r>
    </w:p>
    <w:p w:rsidR="0006009E" w:rsidRDefault="0006009E">
      <w:pPr>
        <w:spacing w:after="0" w:line="240" w:lineRule="auto"/>
        <w:contextualSpacing/>
        <w:jc w:val="right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06009E" w:rsidRDefault="00853E0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Государственные внутренние заимствования</w:t>
      </w:r>
    </w:p>
    <w:p w:rsidR="0006009E" w:rsidRDefault="00853E0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Ханты-Мансийского автономного округа – Югры</w:t>
      </w:r>
    </w:p>
    <w:p w:rsidR="0006009E" w:rsidRDefault="00853E0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2025 год</w:t>
      </w:r>
    </w:p>
    <w:p w:rsidR="0006009E" w:rsidRDefault="0006009E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06009E" w:rsidRDefault="00853E0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(тыс. рублей)</w:t>
      </w:r>
    </w:p>
    <w:tbl>
      <w:tblPr>
        <w:tblW w:w="4999" w:type="pct"/>
        <w:tblLayout w:type="fixed"/>
        <w:tblLook w:val="04A0" w:firstRow="1" w:lastRow="0" w:firstColumn="1" w:lastColumn="0" w:noHBand="0" w:noVBand="1"/>
      </w:tblPr>
      <w:tblGrid>
        <w:gridCol w:w="6527"/>
        <w:gridCol w:w="2816"/>
      </w:tblGrid>
      <w:tr w:rsidR="0006009E">
        <w:trPr>
          <w:trHeight w:val="23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09E" w:rsidRDefault="00853E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8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09E" w:rsidRDefault="00853E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6009E">
        <w:trPr>
          <w:trHeight w:val="23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09E" w:rsidRDefault="00853E0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Государственные ценные бумаги</w:t>
            </w:r>
          </w:p>
        </w:tc>
        <w:tc>
          <w:tcPr>
            <w:tcW w:w="28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10 000 000,0</w:t>
            </w:r>
          </w:p>
        </w:tc>
      </w:tr>
      <w:tr w:rsidR="0006009E">
        <w:trPr>
          <w:trHeight w:val="23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09E" w:rsidRDefault="00853E0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Размещение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10 000 000,0</w:t>
            </w:r>
          </w:p>
        </w:tc>
      </w:tr>
      <w:tr w:rsidR="0006009E">
        <w:trPr>
          <w:trHeight w:val="23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28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06009E">
        <w:trPr>
          <w:trHeight w:val="23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Кредиты кредитных организаций</w:t>
            </w:r>
          </w:p>
        </w:tc>
        <w:tc>
          <w:tcPr>
            <w:tcW w:w="28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41 500 000,0</w:t>
            </w:r>
          </w:p>
        </w:tc>
      </w:tr>
      <w:tr w:rsidR="0006009E">
        <w:trPr>
          <w:trHeight w:val="23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28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41 500 000,0</w:t>
            </w:r>
          </w:p>
        </w:tc>
      </w:tr>
      <w:tr w:rsidR="0006009E">
        <w:trPr>
          <w:trHeight w:val="23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2819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06009E">
        <w:trPr>
          <w:trHeight w:val="23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Бюджетные кредиты из других бюджетов бюджетной системы Российской Федерации (на реализацию инфраструктурных проектов)</w:t>
            </w:r>
          </w:p>
        </w:tc>
        <w:tc>
          <w:tcPr>
            <w:tcW w:w="28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1 066 243,2</w:t>
            </w:r>
          </w:p>
        </w:tc>
      </w:tr>
      <w:tr w:rsidR="0006009E">
        <w:trPr>
          <w:trHeight w:val="23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28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1 647 586,8</w:t>
            </w:r>
          </w:p>
        </w:tc>
      </w:tr>
      <w:tr w:rsidR="0006009E">
        <w:trPr>
          <w:trHeight w:val="23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28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581 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343,6</w:t>
            </w:r>
          </w:p>
        </w:tc>
      </w:tr>
      <w:tr w:rsidR="0006009E">
        <w:trPr>
          <w:trHeight w:val="23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09E" w:rsidRDefault="00853E0D">
            <w:pPr>
              <w:tabs>
                <w:tab w:val="left" w:pos="1984"/>
                <w:tab w:val="left" w:pos="2551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Бюджетные кредиты из других бюджетов бюджетной системы Российской Федерации (специальные казначейские кредиты)</w:t>
            </w:r>
          </w:p>
        </w:tc>
        <w:tc>
          <w:tcPr>
            <w:tcW w:w="28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-96 348,0</w:t>
            </w:r>
          </w:p>
        </w:tc>
      </w:tr>
      <w:tr w:rsidR="0006009E">
        <w:trPr>
          <w:trHeight w:val="23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28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06009E">
        <w:trPr>
          <w:trHeight w:val="23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28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96 348,0</w:t>
            </w:r>
          </w:p>
        </w:tc>
      </w:tr>
      <w:tr w:rsidR="0006009E">
        <w:trPr>
          <w:trHeight w:val="23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Государственные внутренние заимствования, всего</w:t>
            </w:r>
          </w:p>
        </w:tc>
        <w:tc>
          <w:tcPr>
            <w:tcW w:w="28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52 469 895,2</w:t>
            </w:r>
          </w:p>
        </w:tc>
      </w:tr>
    </w:tbl>
    <w:p w:rsidR="0006009E" w:rsidRDefault="0006009E">
      <w:pPr>
        <w:tabs>
          <w:tab w:val="left" w:pos="7655"/>
        </w:tabs>
        <w:spacing w:after="0" w:line="240" w:lineRule="auto"/>
        <w:ind w:left="7655" w:hanging="284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06009E" w:rsidRDefault="00853E0D">
      <w:pPr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br w:type="page" w:clear="all"/>
      </w:r>
    </w:p>
    <w:p w:rsidR="0006009E" w:rsidRDefault="00853E0D">
      <w:pPr>
        <w:tabs>
          <w:tab w:val="left" w:pos="7655"/>
        </w:tabs>
        <w:spacing w:after="0" w:line="240" w:lineRule="auto"/>
        <w:ind w:left="7937" w:hanging="284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lastRenderedPageBreak/>
        <w:t>Таблица 2</w:t>
      </w:r>
    </w:p>
    <w:p w:rsidR="0006009E" w:rsidRDefault="00853E0D">
      <w:pPr>
        <w:tabs>
          <w:tab w:val="left" w:pos="7655"/>
        </w:tabs>
        <w:spacing w:after="0" w:line="240" w:lineRule="auto"/>
        <w:ind w:left="7937" w:hanging="284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приложения 30</w:t>
      </w:r>
    </w:p>
    <w:p w:rsidR="0006009E" w:rsidRDefault="0006009E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06009E" w:rsidRDefault="00853E0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Государственные внутренние заимствования</w:t>
      </w:r>
    </w:p>
    <w:p w:rsidR="0006009E" w:rsidRDefault="00853E0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Ханты-Мансийского автономного округа – Югры</w:t>
      </w:r>
    </w:p>
    <w:p w:rsidR="0006009E" w:rsidRDefault="00853E0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плановый период 2026 и 2027 годов</w:t>
      </w:r>
    </w:p>
    <w:p w:rsidR="0006009E" w:rsidRDefault="0006009E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06009E" w:rsidRDefault="00853E0D">
      <w:pPr>
        <w:spacing w:after="0" w:line="240" w:lineRule="auto"/>
        <w:ind w:right="2"/>
        <w:contextualSpacing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(тыс. рублей)</w:t>
      </w:r>
    </w:p>
    <w:tbl>
      <w:tblPr>
        <w:tblW w:w="4999" w:type="pct"/>
        <w:tblLayout w:type="fixed"/>
        <w:tblLook w:val="04A0" w:firstRow="1" w:lastRow="0" w:firstColumn="1" w:lastColumn="0" w:noHBand="0" w:noVBand="1"/>
      </w:tblPr>
      <w:tblGrid>
        <w:gridCol w:w="4925"/>
        <w:gridCol w:w="2113"/>
        <w:gridCol w:w="2305"/>
      </w:tblGrid>
      <w:tr w:rsidR="0006009E">
        <w:trPr>
          <w:trHeight w:val="299"/>
        </w:trPr>
        <w:tc>
          <w:tcPr>
            <w:tcW w:w="49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FFFFFF" w:fill="FFFFFF"/>
            <w:vAlign w:val="center"/>
          </w:tcPr>
          <w:p w:rsidR="0006009E" w:rsidRDefault="00853E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44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6009E" w:rsidRDefault="00853E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6009E">
        <w:trPr>
          <w:trHeight w:val="450"/>
        </w:trPr>
        <w:tc>
          <w:tcPr>
            <w:tcW w:w="4931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FFFFFF" w:fill="FFFFFF"/>
            <w:vAlign w:val="bottom"/>
          </w:tcPr>
          <w:p w:rsidR="0006009E" w:rsidRDefault="0006009E"/>
        </w:tc>
        <w:tc>
          <w:tcPr>
            <w:tcW w:w="2115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6009E" w:rsidRDefault="00853E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308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6009E" w:rsidRDefault="00853E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 год</w:t>
            </w:r>
          </w:p>
        </w:tc>
      </w:tr>
      <w:tr w:rsidR="0006009E">
        <w:trPr>
          <w:cantSplit/>
          <w:trHeight w:val="23"/>
        </w:trPr>
        <w:tc>
          <w:tcPr>
            <w:tcW w:w="493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  <w:vAlign w:val="bottom"/>
          </w:tcPr>
          <w:p w:rsidR="0006009E" w:rsidRDefault="00853E0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Государственные ценные бумаги</w:t>
            </w:r>
          </w:p>
        </w:tc>
        <w:tc>
          <w:tcPr>
            <w:tcW w:w="211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10 000 000,0</w:t>
            </w:r>
          </w:p>
        </w:tc>
        <w:tc>
          <w:tcPr>
            <w:tcW w:w="23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9 000 000,0</w:t>
            </w:r>
          </w:p>
        </w:tc>
      </w:tr>
      <w:tr w:rsidR="0006009E">
        <w:trPr>
          <w:cantSplit/>
          <w:trHeight w:val="23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Размещение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10 000 000,0</w:t>
            </w:r>
          </w:p>
        </w:tc>
        <w:tc>
          <w:tcPr>
            <w:tcW w:w="23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10 000 000,0</w:t>
            </w:r>
          </w:p>
        </w:tc>
      </w:tr>
      <w:tr w:rsidR="0006009E">
        <w:trPr>
          <w:cantSplit/>
          <w:trHeight w:val="23"/>
        </w:trPr>
        <w:tc>
          <w:tcPr>
            <w:tcW w:w="493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211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3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1 000 000,0</w:t>
            </w:r>
          </w:p>
        </w:tc>
      </w:tr>
      <w:tr w:rsidR="0006009E">
        <w:trPr>
          <w:cantSplit/>
          <w:trHeight w:val="23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09E" w:rsidRDefault="00853E0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Кредиты кредитных организаций</w:t>
            </w:r>
          </w:p>
        </w:tc>
        <w:tc>
          <w:tcPr>
            <w:tcW w:w="2115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15 500 000,0</w:t>
            </w:r>
          </w:p>
        </w:tc>
        <w:tc>
          <w:tcPr>
            <w:tcW w:w="2308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27 500 000,0</w:t>
            </w:r>
          </w:p>
        </w:tc>
      </w:tr>
      <w:tr w:rsidR="0006009E">
        <w:trPr>
          <w:cantSplit/>
          <w:trHeight w:val="23"/>
        </w:trPr>
        <w:tc>
          <w:tcPr>
            <w:tcW w:w="4931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27 500 000,0</w:t>
            </w:r>
          </w:p>
        </w:tc>
        <w:tc>
          <w:tcPr>
            <w:tcW w:w="2308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39 500 000,0</w:t>
            </w:r>
          </w:p>
        </w:tc>
      </w:tr>
      <w:tr w:rsidR="0006009E">
        <w:trPr>
          <w:cantSplit/>
          <w:trHeight w:val="23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12 000 000,0</w:t>
            </w:r>
          </w:p>
        </w:tc>
        <w:tc>
          <w:tcPr>
            <w:tcW w:w="23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12 000 000,0</w:t>
            </w:r>
          </w:p>
        </w:tc>
      </w:tr>
      <w:tr w:rsidR="0006009E">
        <w:trPr>
          <w:cantSplit/>
          <w:trHeight w:val="23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Бюджетные кредиты из других бюджетов бюджетной системы Российской Федерации (на реализацию инфраструктурных проектов)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-709 088,8</w:t>
            </w:r>
          </w:p>
        </w:tc>
        <w:tc>
          <w:tcPr>
            <w:tcW w:w="23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-826 773,5</w:t>
            </w:r>
          </w:p>
        </w:tc>
      </w:tr>
      <w:tr w:rsidR="0006009E">
        <w:trPr>
          <w:cantSplit/>
          <w:trHeight w:val="23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3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06009E">
        <w:trPr>
          <w:cantSplit/>
          <w:trHeight w:val="23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709 088,8</w:t>
            </w:r>
          </w:p>
        </w:tc>
        <w:tc>
          <w:tcPr>
            <w:tcW w:w="23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826 773,5</w:t>
            </w:r>
          </w:p>
        </w:tc>
      </w:tr>
      <w:tr w:rsidR="0006009E">
        <w:trPr>
          <w:cantSplit/>
          <w:trHeight w:val="23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Бюджетные кредиты из других бюджетов бюджетной системы Российской Федерации (специальные казначейские кредиты)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-96 348,0</w:t>
            </w:r>
          </w:p>
        </w:tc>
        <w:tc>
          <w:tcPr>
            <w:tcW w:w="23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-96 348,0</w:t>
            </w:r>
          </w:p>
        </w:tc>
      </w:tr>
      <w:tr w:rsidR="0006009E">
        <w:trPr>
          <w:cantSplit/>
          <w:trHeight w:val="23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3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06009E">
        <w:trPr>
          <w:cantSplit/>
          <w:trHeight w:val="23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96 348,0</w:t>
            </w:r>
          </w:p>
        </w:tc>
        <w:tc>
          <w:tcPr>
            <w:tcW w:w="23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96 348,0</w:t>
            </w:r>
          </w:p>
        </w:tc>
      </w:tr>
      <w:tr w:rsidR="0006009E">
        <w:trPr>
          <w:cantSplit/>
          <w:trHeight w:val="23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Государственные внутренние заимствования, всего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24 694 563,2</w:t>
            </w:r>
          </w:p>
        </w:tc>
        <w:tc>
          <w:tcPr>
            <w:tcW w:w="23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09E" w:rsidRDefault="00853E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35 576 878,5</w:t>
            </w:r>
          </w:p>
        </w:tc>
      </w:tr>
    </w:tbl>
    <w:p w:rsidR="0006009E" w:rsidRDefault="00853E0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Предельные сроки погашения долговых обязательств, возникающих при осуществлении государственных внутренних заимствований Ханты-Мансийского автономного округа – Югры в 2025 году и плановом периоде 2026 и 2027 годов: </w:t>
      </w:r>
    </w:p>
    <w:p w:rsidR="0006009E" w:rsidRDefault="00853E0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по облигационным займам – 8 лет; </w:t>
      </w:r>
    </w:p>
    <w:p w:rsidR="0006009E" w:rsidRDefault="00853E0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по кредитам кредитных организаций – 3 года;</w:t>
      </w:r>
    </w:p>
    <w:p w:rsidR="0006009E" w:rsidRDefault="00853E0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по бюджетным кредитам из федерального бюджета на финансовое обеспечение реализации инфраструктурных проектов и бюджетным кредитам за счет временно свободных средств единого счета федерального бюджета (специальные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казначейские кредиты) – 15 лет.</w:t>
      </w:r>
    </w:p>
    <w:p w:rsidR="0006009E" w:rsidRDefault="0006009E"/>
    <w:p w:rsidR="0006009E" w:rsidRDefault="0006009E"/>
    <w:sectPr w:rsidR="0006009E">
      <w:headerReference w:type="default" r:id="rId6"/>
      <w:pgSz w:w="11906" w:h="16838"/>
      <w:pgMar w:top="1134" w:right="850" w:bottom="1134" w:left="1701" w:header="708" w:footer="708" w:gutter="0"/>
      <w:pgNumType w:start="166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3E0D" w:rsidRDefault="00853E0D">
      <w:pPr>
        <w:spacing w:after="0" w:line="240" w:lineRule="auto"/>
      </w:pPr>
      <w:r>
        <w:separator/>
      </w:r>
    </w:p>
  </w:endnote>
  <w:endnote w:type="continuationSeparator" w:id="0">
    <w:p w:rsidR="00853E0D" w:rsidRDefault="00853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3E0D" w:rsidRDefault="00853E0D">
      <w:pPr>
        <w:spacing w:after="0" w:line="240" w:lineRule="auto"/>
      </w:pPr>
      <w:r>
        <w:separator/>
      </w:r>
    </w:p>
  </w:footnote>
  <w:footnote w:type="continuationSeparator" w:id="0">
    <w:p w:rsidR="00853E0D" w:rsidRDefault="00853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4"/>
        <w:szCs w:val="24"/>
      </w:rPr>
      <w:id w:val="-1441909442"/>
      <w:docPartObj>
        <w:docPartGallery w:val="Page Numbers (Top of Page)"/>
        <w:docPartUnique/>
      </w:docPartObj>
    </w:sdtPr>
    <w:sdtEndPr/>
    <w:sdtContent>
      <w:p w:rsidR="0006009E" w:rsidRDefault="00853E0D">
        <w:pPr>
          <w:pStyle w:val="af6"/>
          <w:jc w:val="right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 w:rsidR="00C51659">
          <w:rPr>
            <w:rFonts w:ascii="Times New Roman" w:hAnsi="Times New Roman"/>
            <w:noProof/>
            <w:sz w:val="24"/>
            <w:szCs w:val="24"/>
          </w:rPr>
          <w:t>1668</w:t>
        </w:r>
        <w:r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09E"/>
    <w:rsid w:val="0006009E"/>
    <w:rsid w:val="00853E0D"/>
    <w:rsid w:val="00C51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43DF5A-E049-4327-AD62-1835377E4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CCCEA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CCCEA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5AFDD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single" w:sz="4" w:space="0" w:color="95AFDD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B9BD5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single" w:sz="4" w:space="0" w:color="5B9BD5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DA9DB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8DA9DB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Calibri" w:eastAsia="Calibri" w:hAnsi="Calibri" w:cs="Times New Roman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Calibri" w:eastAsia="Calibri" w:hAnsi="Calibri" w:cs="Times New Roman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2073</Characters>
  <Application>Microsoft Office Word</Application>
  <DocSecurity>0</DocSecurity>
  <Lines>17</Lines>
  <Paragraphs>4</Paragraphs>
  <ScaleCrop>false</ScaleCrop>
  <Company/>
  <LinksUpToDate>false</LinksUpToDate>
  <CharactersWithSpaces>2432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Губанова Анна Николаевна</dc:creator>
  <cp:keywords/>
  <dc:description/>
  <cp:lastModifiedBy>Красноперова Дарья Александровна</cp:lastModifiedBy>
  <cp:revision>10</cp:revision>
  <dcterms:created xsi:type="dcterms:W3CDTF">2024-11-20T08:37:00Z</dcterms:created>
  <dcterms:modified xsi:type="dcterms:W3CDTF">2024-11-29T10:15:00Z</dcterms:modified>
</cp:coreProperties>
</file>